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0888" w14:textId="419783EE" w:rsidR="00C70F22" w:rsidRPr="00415680" w:rsidRDefault="00000000" w:rsidP="00BD33A4">
      <w:pPr>
        <w:jc w:val="center"/>
        <w:rPr>
          <w:b/>
          <w:bCs/>
          <w:sz w:val="32"/>
          <w:szCs w:val="32"/>
        </w:rPr>
      </w:pPr>
    </w:p>
    <w:p w14:paraId="65A61A8C" w14:textId="24896967" w:rsidR="00233780" w:rsidRDefault="00CA1D87" w:rsidP="00BD33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Legislative Round Up</w:t>
      </w:r>
    </w:p>
    <w:p w14:paraId="469D674A" w14:textId="066ED36E" w:rsidR="00CA1D87" w:rsidRPr="00415680" w:rsidRDefault="00CA1D87" w:rsidP="00BD33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Final Session of the 117</w:t>
      </w:r>
      <w:r w:rsidRPr="00CA1D87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>Congress</w:t>
      </w:r>
    </w:p>
    <w:p w14:paraId="0C16BDCA" w14:textId="5F7B9558" w:rsidR="00233780" w:rsidRDefault="00233780"/>
    <w:p w14:paraId="231D3C31" w14:textId="3C93ADB6" w:rsidR="00233780" w:rsidRDefault="00233780"/>
    <w:p w14:paraId="087BF0DE" w14:textId="3BA51808" w:rsidR="00CA1D87" w:rsidRPr="00CA1D87" w:rsidRDefault="00CA1D87" w:rsidP="00350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Approved</w:t>
      </w:r>
      <w:r w:rsidRPr="00CA1D87">
        <w:rPr>
          <w:b/>
          <w:bCs/>
          <w:sz w:val="28"/>
          <w:szCs w:val="28"/>
        </w:rPr>
        <w:t xml:space="preserve"> Policy Priorities | Advocacy Road Trip Talking Points</w:t>
      </w:r>
    </w:p>
    <w:p w14:paraId="6790727F" w14:textId="2B8572DD" w:rsidR="00CA1D87" w:rsidRDefault="00CA1D87"/>
    <w:p w14:paraId="4797AD84" w14:textId="50FECF24" w:rsidR="00CA1D87" w:rsidRDefault="00CA1D87" w:rsidP="00CA1D87">
      <w:pPr>
        <w:pStyle w:val="ListParagraph"/>
        <w:numPr>
          <w:ilvl w:val="0"/>
          <w:numId w:val="8"/>
        </w:numPr>
        <w:rPr>
          <w:rFonts w:cstheme="minorHAnsi"/>
        </w:rPr>
      </w:pPr>
      <w:r w:rsidRPr="00CA1D87">
        <w:rPr>
          <w:rFonts w:cstheme="minorHAnsi"/>
          <w:b/>
          <w:bCs/>
        </w:rPr>
        <w:t>National Heritage Area Act</w:t>
      </w:r>
      <w:r w:rsidRPr="00CA1D87">
        <w:rPr>
          <w:rFonts w:cstheme="minorHAnsi"/>
        </w:rPr>
        <w:t>, S. 1942:  Establishes a standard criteri</w:t>
      </w:r>
      <w:r>
        <w:rPr>
          <w:rFonts w:cstheme="minorHAnsi"/>
        </w:rPr>
        <w:t>um</w:t>
      </w:r>
      <w:r w:rsidRPr="00CA1D87">
        <w:rPr>
          <w:rFonts w:cstheme="minorHAnsi"/>
        </w:rPr>
        <w:t xml:space="preserve"> for the funding, management, and designation for national heritage areas and set an annual authorization of $1 million for each national heritage area. </w:t>
      </w:r>
      <w:r>
        <w:rPr>
          <w:rFonts w:cstheme="minorHAnsi"/>
        </w:rPr>
        <w:t xml:space="preserve"> In additional, specifically for the Southeast, S. 1942:</w:t>
      </w:r>
    </w:p>
    <w:p w14:paraId="234EE668" w14:textId="77777777" w:rsidR="00CA1D87" w:rsidRDefault="00CA1D87" w:rsidP="00CA1D87">
      <w:pPr>
        <w:pStyle w:val="ListParagraph"/>
        <w:rPr>
          <w:rFonts w:cstheme="minorHAnsi"/>
        </w:rPr>
      </w:pPr>
    </w:p>
    <w:p w14:paraId="64C8B2CC" w14:textId="77777777" w:rsidR="00CA1D87" w:rsidRDefault="00CA1D87" w:rsidP="00CA1D87">
      <w:pPr>
        <w:pStyle w:val="ListParagraph"/>
        <w:numPr>
          <w:ilvl w:val="0"/>
          <w:numId w:val="10"/>
        </w:numPr>
        <w:rPr>
          <w:rFonts w:cstheme="minorHAnsi"/>
        </w:rPr>
      </w:pPr>
      <w:r w:rsidRPr="00CA1D87">
        <w:rPr>
          <w:rFonts w:cstheme="minorHAnsi"/>
        </w:rPr>
        <w:t>Authorize a feasibility study for the Great Dismal Swamp National Heritage Area in Virginia and North Carolina</w:t>
      </w:r>
      <w:r>
        <w:rPr>
          <w:rFonts w:cstheme="minorHAnsi"/>
        </w:rPr>
        <w:t>.</w:t>
      </w:r>
    </w:p>
    <w:p w14:paraId="514AB426" w14:textId="77777777" w:rsidR="00CA1D87" w:rsidRDefault="00CA1D87" w:rsidP="00CA1D87">
      <w:pPr>
        <w:pStyle w:val="ListParagraph"/>
        <w:numPr>
          <w:ilvl w:val="0"/>
          <w:numId w:val="10"/>
        </w:numPr>
        <w:rPr>
          <w:rFonts w:cstheme="minorHAnsi"/>
        </w:rPr>
      </w:pPr>
      <w:r w:rsidRPr="00CA1D87">
        <w:rPr>
          <w:rFonts w:cstheme="minorHAnsi"/>
        </w:rPr>
        <w:t>Designate three new National Heritage Areas in the Southeast:  Alabama Black Belt NHA, Southern Campaign of the American Revolution National Heritage Corridor in South Carolina and North Carolina, and the Northern Neck National Heritage Area in Virginia</w:t>
      </w:r>
      <w:r>
        <w:rPr>
          <w:rFonts w:cstheme="minorHAnsi"/>
        </w:rPr>
        <w:t>.</w:t>
      </w:r>
    </w:p>
    <w:p w14:paraId="725162F9" w14:textId="77777777" w:rsidR="00CA1D87" w:rsidRDefault="00CA1D87" w:rsidP="00CA1D87">
      <w:pPr>
        <w:pStyle w:val="ListParagraph"/>
        <w:numPr>
          <w:ilvl w:val="0"/>
          <w:numId w:val="10"/>
        </w:numPr>
        <w:rPr>
          <w:rFonts w:cstheme="minorHAnsi"/>
        </w:rPr>
      </w:pPr>
      <w:r w:rsidRPr="00CA1D87">
        <w:rPr>
          <w:rFonts w:cstheme="minorHAnsi"/>
        </w:rPr>
        <w:t>Reauthorize 45 National Heritage Areas for 15 years, including 13 in the Southeast</w:t>
      </w:r>
      <w:r>
        <w:rPr>
          <w:rFonts w:cstheme="minorHAnsi"/>
        </w:rPr>
        <w:t>.</w:t>
      </w:r>
    </w:p>
    <w:p w14:paraId="1127232F" w14:textId="77777777" w:rsidR="00CA1D87" w:rsidRDefault="00CA1D87" w:rsidP="00CA1D87">
      <w:pPr>
        <w:pStyle w:val="ListParagraph"/>
        <w:numPr>
          <w:ilvl w:val="0"/>
          <w:numId w:val="10"/>
        </w:numPr>
        <w:rPr>
          <w:rFonts w:cstheme="minorHAnsi"/>
        </w:rPr>
      </w:pPr>
      <w:r w:rsidRPr="00CA1D87">
        <w:rPr>
          <w:rFonts w:cstheme="minorHAnsi"/>
        </w:rPr>
        <w:t>Lift the funding cap for three Southeast National Heritage Areas:  Blue Ridge, South Carolina National Heritage Corridor, and Wheeling</w:t>
      </w:r>
      <w:r>
        <w:rPr>
          <w:rFonts w:cstheme="minorHAnsi"/>
        </w:rPr>
        <w:t>.</w:t>
      </w:r>
    </w:p>
    <w:p w14:paraId="227B50E6" w14:textId="73A80DD2" w:rsidR="00CA1D87" w:rsidRPr="00CA1D87" w:rsidRDefault="00CA1D87" w:rsidP="00CA1D87">
      <w:pPr>
        <w:pStyle w:val="ListParagraph"/>
        <w:numPr>
          <w:ilvl w:val="0"/>
          <w:numId w:val="10"/>
        </w:numPr>
        <w:rPr>
          <w:rFonts w:cstheme="minorHAnsi"/>
        </w:rPr>
      </w:pPr>
      <w:r w:rsidRPr="00CA1D87">
        <w:rPr>
          <w:rFonts w:cstheme="minorHAnsi"/>
        </w:rPr>
        <w:t xml:space="preserve">Final passage </w:t>
      </w:r>
      <w:proofErr w:type="gramStart"/>
      <w:r w:rsidRPr="00CA1D87">
        <w:rPr>
          <w:rFonts w:cstheme="minorHAnsi"/>
        </w:rPr>
        <w:t>vote</w:t>
      </w:r>
      <w:proofErr w:type="gramEnd"/>
      <w:r w:rsidRPr="00CA1D87">
        <w:rPr>
          <w:rFonts w:cstheme="minorHAnsi"/>
        </w:rPr>
        <w:t xml:space="preserve"> in the House, Roll Call #540:  </w:t>
      </w:r>
      <w:hyperlink r:id="rId5" w:history="1">
        <w:r w:rsidRPr="00CA1D87">
          <w:rPr>
            <w:rStyle w:val="Hyperlink"/>
            <w:rFonts w:cstheme="minorHAnsi"/>
          </w:rPr>
          <w:t>https://clerk.house.gov/Votes/2022540?Title=National%20Heritage%20Area%20Act</w:t>
        </w:r>
      </w:hyperlink>
    </w:p>
    <w:p w14:paraId="618DD317" w14:textId="6BC5F4B4" w:rsidR="00CA1D87" w:rsidRDefault="00CA1D87" w:rsidP="00CA1D87">
      <w:pPr>
        <w:rPr>
          <w:rFonts w:cstheme="minorHAnsi"/>
        </w:rPr>
      </w:pPr>
    </w:p>
    <w:p w14:paraId="2449852B" w14:textId="6B93966E" w:rsidR="00CA1D87" w:rsidRPr="00CA1D87" w:rsidRDefault="00CA1D87" w:rsidP="00CA1D87">
      <w:pPr>
        <w:pStyle w:val="ListParagraph"/>
        <w:numPr>
          <w:ilvl w:val="0"/>
          <w:numId w:val="8"/>
        </w:numPr>
        <w:rPr>
          <w:rFonts w:cstheme="minorHAnsi"/>
        </w:rPr>
      </w:pPr>
      <w:r w:rsidRPr="00CA1D87">
        <w:rPr>
          <w:rFonts w:cstheme="minorHAnsi"/>
          <w:b/>
          <w:bCs/>
        </w:rPr>
        <w:t>Visit American Act:</w:t>
      </w:r>
      <w:r w:rsidRPr="00CA1D87">
        <w:rPr>
          <w:rFonts w:cstheme="minorHAnsi"/>
        </w:rPr>
        <w:t xml:space="preserve"> </w:t>
      </w:r>
      <w:r w:rsidRPr="00CA1D87">
        <w:rPr>
          <w:rFonts w:eastAsia="Calibri" w:cstheme="minorHAnsi"/>
          <w:color w:val="000000"/>
        </w:rPr>
        <w:t>Creates an assistant secretary position within the Department of Commerce</w:t>
      </w:r>
      <w:r w:rsidR="00350702">
        <w:rPr>
          <w:rFonts w:eastAsia="Calibri" w:cstheme="minorHAnsi"/>
          <w:color w:val="000000"/>
        </w:rPr>
        <w:t xml:space="preserve"> </w:t>
      </w:r>
      <w:r w:rsidRPr="00CA1D87">
        <w:rPr>
          <w:rFonts w:eastAsia="Calibri" w:cstheme="minorHAnsi"/>
          <w:color w:val="000000"/>
        </w:rPr>
        <w:t>focused on coordinating travel and tourism policy across federal stakeholders and formally authorizes the U.S. Travel and Tourism Advisory Board</w:t>
      </w:r>
      <w:r>
        <w:rPr>
          <w:rFonts w:eastAsia="Calibri" w:cstheme="minorHAnsi"/>
          <w:color w:val="000000"/>
        </w:rPr>
        <w:t xml:space="preserve"> (TTAB)</w:t>
      </w:r>
      <w:r w:rsidRPr="00CA1D87">
        <w:rPr>
          <w:rFonts w:eastAsia="Calibri" w:cstheme="minorHAnsi"/>
          <w:color w:val="000000"/>
        </w:rPr>
        <w:t xml:space="preserve"> to serve as the advisory body to the Secretary and help develop a 10-year travel and tourism strategy that sets goals for international visitation and travel exports, and ensures domestic policy is optimal for achieving these priorities.</w:t>
      </w:r>
      <w:r>
        <w:rPr>
          <w:rFonts w:eastAsia="Calibri" w:cstheme="minorHAnsi"/>
          <w:color w:val="000000"/>
        </w:rPr>
        <w:t xml:space="preserve"> (Currently the TTAB operates on a discretionary basis.</w:t>
      </w:r>
      <w:r>
        <w:rPr>
          <w:rFonts w:cstheme="minorHAnsi"/>
        </w:rPr>
        <w:t>)</w:t>
      </w:r>
    </w:p>
    <w:p w14:paraId="49B5F93E" w14:textId="77777777" w:rsidR="00CA1D87" w:rsidRPr="00CA1D87" w:rsidRDefault="00CA1D87" w:rsidP="00CA1D87">
      <w:pPr>
        <w:pStyle w:val="ListParagraph"/>
        <w:rPr>
          <w:rFonts w:cstheme="minorHAnsi"/>
        </w:rPr>
      </w:pPr>
    </w:p>
    <w:p w14:paraId="435F0F43" w14:textId="77777777" w:rsidR="00CA1D87" w:rsidRDefault="00CA1D87" w:rsidP="00CA1D87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b/>
          <w:bCs/>
        </w:rPr>
        <w:t>National Scenic Byways Program funding:</w:t>
      </w:r>
      <w:r>
        <w:rPr>
          <w:rFonts w:cstheme="minorHAnsi"/>
        </w:rPr>
        <w:t xml:space="preserve"> $20 million, an increase of $14 million over FY22.</w:t>
      </w:r>
    </w:p>
    <w:p w14:paraId="30D94B44" w14:textId="77777777" w:rsidR="00CA1D87" w:rsidRPr="00CA1D87" w:rsidRDefault="00CA1D87" w:rsidP="00CA1D87">
      <w:pPr>
        <w:pStyle w:val="ListParagraph"/>
        <w:rPr>
          <w:rFonts w:cstheme="minorHAnsi"/>
        </w:rPr>
      </w:pPr>
    </w:p>
    <w:p w14:paraId="6FEE5F0D" w14:textId="73067519" w:rsidR="00CA1D87" w:rsidRDefault="00CA1D87" w:rsidP="00CA1D87">
      <w:pPr>
        <w:pStyle w:val="ListParagraph"/>
        <w:numPr>
          <w:ilvl w:val="0"/>
          <w:numId w:val="8"/>
        </w:numPr>
        <w:rPr>
          <w:rFonts w:cstheme="minorHAnsi"/>
        </w:rPr>
      </w:pPr>
      <w:r w:rsidRPr="00CA1D87">
        <w:rPr>
          <w:rFonts w:cstheme="minorHAnsi"/>
          <w:b/>
          <w:bCs/>
        </w:rPr>
        <w:t>National Park Service Operations Budget</w:t>
      </w:r>
      <w:r w:rsidRPr="00CA1D87">
        <w:rPr>
          <w:rFonts w:cstheme="minorHAnsi"/>
        </w:rPr>
        <w:t xml:space="preserve">:  </w:t>
      </w:r>
      <w:r>
        <w:t xml:space="preserve">$2.9 billion for the </w:t>
      </w:r>
      <w:proofErr w:type="gramStart"/>
      <w:r>
        <w:t>Operations</w:t>
      </w:r>
      <w:proofErr w:type="gramEnd"/>
      <w:r>
        <w:t>, an increase of $156 million above FY22, which will restore 500 positions of the 3,000 lost over the last decade.</w:t>
      </w:r>
    </w:p>
    <w:p w14:paraId="0369D64A" w14:textId="77777777" w:rsidR="00CA1D87" w:rsidRPr="00CA1D87" w:rsidRDefault="00CA1D87" w:rsidP="00CA1D87">
      <w:pPr>
        <w:pStyle w:val="ListParagraph"/>
        <w:rPr>
          <w:rFonts w:cstheme="minorHAnsi"/>
        </w:rPr>
      </w:pPr>
    </w:p>
    <w:p w14:paraId="33FA45DE" w14:textId="3EF10802" w:rsidR="00CA1D87" w:rsidRDefault="00CA1D87" w:rsidP="00CA1D87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lastRenderedPageBreak/>
        <w:t>U.S. Forest Service Operations Budget: $3.91 billion for the Forest Service’s non-wildland fire management responsibilities, an increase of $222 million over FY22. These funding increases are expected to radically improve fire restoration and fire risk reduction efforts and to increase year-round staffing to increase this work.</w:t>
      </w:r>
    </w:p>
    <w:p w14:paraId="38A922DE" w14:textId="77777777" w:rsidR="00CA1D87" w:rsidRPr="00CA1D87" w:rsidRDefault="00CA1D87" w:rsidP="00CA1D87">
      <w:pPr>
        <w:pStyle w:val="ListParagraph"/>
        <w:rPr>
          <w:rFonts w:cstheme="minorHAnsi"/>
        </w:rPr>
      </w:pPr>
    </w:p>
    <w:p w14:paraId="3FCD0E44" w14:textId="77777777" w:rsidR="00CA1D87" w:rsidRPr="00CA1D87" w:rsidRDefault="00CA1D87" w:rsidP="00CA1D87">
      <w:pPr>
        <w:pStyle w:val="ListParagraph"/>
        <w:rPr>
          <w:rFonts w:cstheme="minorHAnsi"/>
        </w:rPr>
      </w:pPr>
    </w:p>
    <w:p w14:paraId="60BD577D" w14:textId="2ADAA722" w:rsidR="00CA1D87" w:rsidRPr="00CA1D87" w:rsidRDefault="00CA1D87" w:rsidP="00CA1D87">
      <w:pPr>
        <w:jc w:val="center"/>
        <w:rPr>
          <w:b/>
          <w:bCs/>
          <w:sz w:val="28"/>
          <w:szCs w:val="28"/>
        </w:rPr>
      </w:pPr>
      <w:r w:rsidRPr="00CA1D87">
        <w:rPr>
          <w:b/>
          <w:bCs/>
          <w:sz w:val="28"/>
          <w:szCs w:val="28"/>
        </w:rPr>
        <w:t>Pro-Tourism Provisions in FY23 Omnibus Appropriations Bill</w:t>
      </w:r>
    </w:p>
    <w:p w14:paraId="214A8ECE" w14:textId="77777777" w:rsidR="00CA1D87" w:rsidRDefault="00CA1D87"/>
    <w:p w14:paraId="5B96F309" w14:textId="0977151E" w:rsidR="00233780" w:rsidRPr="00415680" w:rsidRDefault="00233780">
      <w:pPr>
        <w:rPr>
          <w:sz w:val="28"/>
          <w:szCs w:val="28"/>
        </w:rPr>
      </w:pPr>
      <w:r w:rsidRPr="00415680">
        <w:rPr>
          <w:sz w:val="28"/>
          <w:szCs w:val="28"/>
        </w:rPr>
        <w:t>Agriculture &amp; Rural Development</w:t>
      </w:r>
    </w:p>
    <w:p w14:paraId="3871C85C" w14:textId="00204E90" w:rsidR="00233780" w:rsidRDefault="00233780"/>
    <w:p w14:paraId="60668D55" w14:textId="7E19C859" w:rsidR="009B433E" w:rsidRDefault="00233780" w:rsidP="009B433E">
      <w:pPr>
        <w:pStyle w:val="ListParagraph"/>
        <w:numPr>
          <w:ilvl w:val="0"/>
          <w:numId w:val="1"/>
        </w:numPr>
      </w:pPr>
      <w:r>
        <w:t>$</w:t>
      </w:r>
      <w:r w:rsidR="00CA1D87">
        <w:t>455</w:t>
      </w:r>
      <w:r>
        <w:t xml:space="preserve"> million for </w:t>
      </w:r>
      <w:r w:rsidR="009B433E" w:rsidRPr="00415680">
        <w:rPr>
          <w:b/>
          <w:bCs/>
        </w:rPr>
        <w:t>rural broadband</w:t>
      </w:r>
      <w:r w:rsidR="009B433E">
        <w:t xml:space="preserve"> to expand service to provide economic development opportunities and improved education and health care services. Included in this appropriation is $</w:t>
      </w:r>
      <w:r w:rsidR="00CA1D87">
        <w:t>348</w:t>
      </w:r>
      <w:r w:rsidR="009B433E">
        <w:t xml:space="preserve"> million for the </w:t>
      </w:r>
      <w:proofErr w:type="spellStart"/>
      <w:r w:rsidR="009B433E" w:rsidRPr="00415680">
        <w:rPr>
          <w:b/>
          <w:bCs/>
        </w:rPr>
        <w:t>ReConnect</w:t>
      </w:r>
      <w:proofErr w:type="spellEnd"/>
      <w:r w:rsidR="009B433E" w:rsidRPr="00415680">
        <w:rPr>
          <w:b/>
          <w:bCs/>
        </w:rPr>
        <w:t xml:space="preserve"> program</w:t>
      </w:r>
      <w:r w:rsidR="009B433E">
        <w:t>, which offers loans, grants, and loan grant combinations to facilitate broadband deployment to rural communities that do not have sufficient access to broadband.</w:t>
      </w:r>
    </w:p>
    <w:p w14:paraId="50FDFB03" w14:textId="324583F8" w:rsidR="004A2F05" w:rsidRDefault="004A2F05" w:rsidP="004A2F05"/>
    <w:p w14:paraId="2FE4831B" w14:textId="613ED89E" w:rsidR="004A2F05" w:rsidRPr="006566A9" w:rsidRDefault="004941FD" w:rsidP="004A2F05">
      <w:pPr>
        <w:rPr>
          <w:sz w:val="28"/>
          <w:szCs w:val="28"/>
        </w:rPr>
      </w:pPr>
      <w:r w:rsidRPr="006566A9">
        <w:rPr>
          <w:sz w:val="28"/>
          <w:szCs w:val="28"/>
        </w:rPr>
        <w:t>Energy, Water Development and Related Agencies</w:t>
      </w:r>
    </w:p>
    <w:p w14:paraId="069A3BC7" w14:textId="77777777" w:rsidR="004941FD" w:rsidRDefault="004941FD" w:rsidP="004A2F05"/>
    <w:p w14:paraId="14AB6C72" w14:textId="426B38F7" w:rsidR="004A2F05" w:rsidRDefault="004A2F05" w:rsidP="004941FD">
      <w:pPr>
        <w:pStyle w:val="ListParagraph"/>
        <w:numPr>
          <w:ilvl w:val="0"/>
          <w:numId w:val="1"/>
        </w:numPr>
      </w:pPr>
      <w:r w:rsidRPr="006566A9">
        <w:rPr>
          <w:b/>
          <w:bCs/>
        </w:rPr>
        <w:t>U.S. Army Corps of Engineers</w:t>
      </w:r>
      <w:r w:rsidR="004941FD">
        <w:t>:  $8.</w:t>
      </w:r>
      <w:r w:rsidR="00CA1D87">
        <w:t>66</w:t>
      </w:r>
      <w:r w:rsidR="004941FD">
        <w:t xml:space="preserve"> billion in funding, an increase of $</w:t>
      </w:r>
      <w:r w:rsidR="00CA1D87">
        <w:t>317</w:t>
      </w:r>
      <w:r w:rsidR="004941FD">
        <w:t xml:space="preserve"> million above FY2</w:t>
      </w:r>
      <w:r w:rsidR="00CA1D87">
        <w:t>2</w:t>
      </w:r>
      <w:r w:rsidR="00C947C4">
        <w:t>.</w:t>
      </w:r>
    </w:p>
    <w:p w14:paraId="3C3349EB" w14:textId="1244E9FF" w:rsidR="004941FD" w:rsidRDefault="004941FD" w:rsidP="004941FD">
      <w:pPr>
        <w:pStyle w:val="ListParagraph"/>
        <w:numPr>
          <w:ilvl w:val="0"/>
          <w:numId w:val="1"/>
        </w:numPr>
      </w:pPr>
      <w:r w:rsidRPr="006566A9">
        <w:rPr>
          <w:b/>
          <w:bCs/>
        </w:rPr>
        <w:t>Appalachian Regional Commission</w:t>
      </w:r>
      <w:r>
        <w:t>:  $</w:t>
      </w:r>
      <w:r w:rsidR="00CA1D87">
        <w:t>200</w:t>
      </w:r>
      <w:r>
        <w:t xml:space="preserve"> million in funding, an increase of $5 million</w:t>
      </w:r>
      <w:r w:rsidR="00C947C4">
        <w:t xml:space="preserve"> above FY2</w:t>
      </w:r>
      <w:r w:rsidR="00CA1D87">
        <w:t>2</w:t>
      </w:r>
      <w:r w:rsidR="00C947C4">
        <w:t>.</w:t>
      </w:r>
    </w:p>
    <w:p w14:paraId="215107E7" w14:textId="05458274" w:rsidR="00C947C4" w:rsidRDefault="00C947C4" w:rsidP="004941FD">
      <w:pPr>
        <w:pStyle w:val="ListParagraph"/>
        <w:numPr>
          <w:ilvl w:val="0"/>
          <w:numId w:val="1"/>
        </w:numPr>
      </w:pPr>
      <w:r w:rsidRPr="006566A9">
        <w:rPr>
          <w:b/>
          <w:bCs/>
        </w:rPr>
        <w:t>Delta Regional Authority</w:t>
      </w:r>
      <w:r>
        <w:t xml:space="preserve">:  $30 million in funding, which is targeted to the economic development needs of distressed communities of the Mississippi River Delta Region. </w:t>
      </w:r>
    </w:p>
    <w:p w14:paraId="56AA55C2" w14:textId="0EB6D4CC" w:rsidR="00C947C4" w:rsidRDefault="00C947C4" w:rsidP="004941FD">
      <w:pPr>
        <w:pStyle w:val="ListParagraph"/>
        <w:numPr>
          <w:ilvl w:val="0"/>
          <w:numId w:val="1"/>
        </w:numPr>
      </w:pPr>
      <w:r w:rsidRPr="006566A9">
        <w:rPr>
          <w:b/>
          <w:bCs/>
        </w:rPr>
        <w:t>Southeast Crescent Regional Commission</w:t>
      </w:r>
      <w:r>
        <w:t>: $</w:t>
      </w:r>
      <w:r w:rsidR="00CA1D87">
        <w:t>20</w:t>
      </w:r>
      <w:r>
        <w:t xml:space="preserve"> million in funding, an increase of </w:t>
      </w:r>
      <w:r w:rsidR="00390340">
        <w:t>$</w:t>
      </w:r>
      <w:r w:rsidR="00CA1D87">
        <w:t>15</w:t>
      </w:r>
      <w:r w:rsidR="00390340">
        <w:t xml:space="preserve"> million over FY2</w:t>
      </w:r>
      <w:r w:rsidR="00CA1D87">
        <w:t>2</w:t>
      </w:r>
      <w:r w:rsidR="00390340">
        <w:t>. The funding targets the economic development needs of distressed communities in Alabama, Florida, Georgia, Mississippi, North Carolina, South Carolina, and Virginia.</w:t>
      </w:r>
    </w:p>
    <w:p w14:paraId="29F4C900" w14:textId="2ECFBBD9" w:rsidR="00390340" w:rsidRDefault="00390340" w:rsidP="00390340"/>
    <w:p w14:paraId="61533F41" w14:textId="66914455" w:rsidR="00390340" w:rsidRPr="006566A9" w:rsidRDefault="00390340" w:rsidP="00390340">
      <w:pPr>
        <w:rPr>
          <w:sz w:val="28"/>
          <w:szCs w:val="28"/>
        </w:rPr>
      </w:pPr>
      <w:r w:rsidRPr="006566A9">
        <w:rPr>
          <w:sz w:val="28"/>
          <w:szCs w:val="28"/>
        </w:rPr>
        <w:t>Interior, Environment, and Related Agencies</w:t>
      </w:r>
    </w:p>
    <w:p w14:paraId="6DF76BE9" w14:textId="47F3AD39" w:rsidR="00390340" w:rsidRDefault="00390340" w:rsidP="00390340"/>
    <w:p w14:paraId="6A494CFB" w14:textId="10EE39FD" w:rsidR="00390340" w:rsidRDefault="00A96C53" w:rsidP="00390340">
      <w:pPr>
        <w:pStyle w:val="ListParagraph"/>
        <w:numPr>
          <w:ilvl w:val="0"/>
          <w:numId w:val="2"/>
        </w:numPr>
      </w:pPr>
      <w:r w:rsidRPr="006566A9">
        <w:rPr>
          <w:b/>
          <w:bCs/>
        </w:rPr>
        <w:t>U.S. Fish and Wildlife Service</w:t>
      </w:r>
      <w:r>
        <w:t>:  $1.</w:t>
      </w:r>
      <w:r w:rsidR="00CA1D87">
        <w:t>8</w:t>
      </w:r>
      <w:r>
        <w:t xml:space="preserve"> billion in total funding, which is </w:t>
      </w:r>
      <w:r w:rsidR="00CA1D87">
        <w:t xml:space="preserve">$128 million above FY FY22 </w:t>
      </w:r>
      <w:r>
        <w:t>$62 millio</w:t>
      </w:r>
      <w:r w:rsidR="00CA1D87">
        <w:t xml:space="preserve">n </w:t>
      </w:r>
      <w:r>
        <w:t>and includes:</w:t>
      </w:r>
    </w:p>
    <w:p w14:paraId="6F6D8FF7" w14:textId="38ADD9CF" w:rsidR="00A96C53" w:rsidRDefault="00A96C53" w:rsidP="00A96C53">
      <w:pPr>
        <w:pStyle w:val="ListParagraph"/>
        <w:numPr>
          <w:ilvl w:val="0"/>
          <w:numId w:val="3"/>
        </w:numPr>
      </w:pPr>
      <w:r>
        <w:t>$5</w:t>
      </w:r>
      <w:r w:rsidR="00CA1D87">
        <w:t>42</w:t>
      </w:r>
      <w:r>
        <w:t xml:space="preserve"> million for the National Wildlife Refuge System, </w:t>
      </w:r>
      <w:r w:rsidR="00166DF2">
        <w:t>an increase of</w:t>
      </w:r>
      <w:r>
        <w:t xml:space="preserve"> $</w:t>
      </w:r>
      <w:r w:rsidR="00CA1D87">
        <w:t>23</w:t>
      </w:r>
      <w:r>
        <w:t xml:space="preserve"> million </w:t>
      </w:r>
      <w:r w:rsidR="00166DF2">
        <w:t>above</w:t>
      </w:r>
      <w:r>
        <w:t xml:space="preserve"> FY2</w:t>
      </w:r>
      <w:r w:rsidR="00CA1D87">
        <w:t>2</w:t>
      </w:r>
      <w:r w:rsidR="00166DF2">
        <w:t>.</w:t>
      </w:r>
    </w:p>
    <w:p w14:paraId="04510D86" w14:textId="59F8B9C9" w:rsidR="00166DF2" w:rsidRDefault="00166DF2" w:rsidP="00166DF2">
      <w:pPr>
        <w:pStyle w:val="ListParagraph"/>
        <w:numPr>
          <w:ilvl w:val="0"/>
          <w:numId w:val="2"/>
        </w:numPr>
      </w:pPr>
      <w:r w:rsidRPr="006566A9">
        <w:rPr>
          <w:b/>
          <w:bCs/>
        </w:rPr>
        <w:t>National Park Service</w:t>
      </w:r>
      <w:r>
        <w:t>:  $3.</w:t>
      </w:r>
      <w:r w:rsidR="00CA1D87">
        <w:t>5</w:t>
      </w:r>
      <w:r>
        <w:t xml:space="preserve"> billion in total funding, which is $</w:t>
      </w:r>
      <w:r w:rsidR="00CA1D87">
        <w:t>210</w:t>
      </w:r>
      <w:r>
        <w:t xml:space="preserve"> million above FY2</w:t>
      </w:r>
      <w:r w:rsidR="00CA1D87">
        <w:t>2</w:t>
      </w:r>
      <w:r>
        <w:t>, and includes:</w:t>
      </w:r>
    </w:p>
    <w:p w14:paraId="2A0199DC" w14:textId="2256C6B6" w:rsidR="00CA1D87" w:rsidRDefault="00CA1D87" w:rsidP="001B65A6">
      <w:pPr>
        <w:pStyle w:val="ListParagraph"/>
        <w:numPr>
          <w:ilvl w:val="0"/>
          <w:numId w:val="3"/>
        </w:numPr>
      </w:pPr>
      <w:r>
        <w:t>$2.9 billion for the Operation of the National Park System, an increase of $156 million above FY22.</w:t>
      </w:r>
    </w:p>
    <w:p w14:paraId="625B6232" w14:textId="25364929" w:rsidR="001B65A6" w:rsidRDefault="001B65A6" w:rsidP="001B65A6">
      <w:pPr>
        <w:pStyle w:val="ListParagraph"/>
        <w:numPr>
          <w:ilvl w:val="0"/>
          <w:numId w:val="3"/>
        </w:numPr>
      </w:pPr>
      <w:r>
        <w:t>$2</w:t>
      </w:r>
      <w:r w:rsidR="00CA1D87">
        <w:t>9.2</w:t>
      </w:r>
      <w:r>
        <w:t xml:space="preserve"> million for the </w:t>
      </w:r>
      <w:r w:rsidRPr="006566A9">
        <w:rPr>
          <w:b/>
          <w:bCs/>
        </w:rPr>
        <w:t>National Heritage Area Program</w:t>
      </w:r>
      <w:r w:rsidR="00B417DA">
        <w:t>, a $</w:t>
      </w:r>
      <w:r w:rsidR="00CA1D87">
        <w:t>2</w:t>
      </w:r>
      <w:r w:rsidR="00B417DA">
        <w:t>.</w:t>
      </w:r>
      <w:r w:rsidR="00CA1D87">
        <w:t>1</w:t>
      </w:r>
      <w:r w:rsidR="00B417DA">
        <w:t xml:space="preserve"> million increase over FY2</w:t>
      </w:r>
      <w:r w:rsidR="00CA1D87">
        <w:t>2.</w:t>
      </w:r>
    </w:p>
    <w:p w14:paraId="007CAC25" w14:textId="68EF2671" w:rsidR="00166DF2" w:rsidRDefault="00166DF2" w:rsidP="00166DF2">
      <w:pPr>
        <w:pStyle w:val="ListParagraph"/>
        <w:numPr>
          <w:ilvl w:val="0"/>
          <w:numId w:val="3"/>
        </w:numPr>
      </w:pPr>
      <w:r>
        <w:t>$</w:t>
      </w:r>
      <w:r w:rsidR="00CA1D87">
        <w:t>93</w:t>
      </w:r>
      <w:r>
        <w:t xml:space="preserve"> million for </w:t>
      </w:r>
      <w:r w:rsidRPr="006566A9">
        <w:rPr>
          <w:b/>
          <w:bCs/>
        </w:rPr>
        <w:t>National Recreation and Preservation</w:t>
      </w:r>
      <w:r>
        <w:t>, an increase of $</w:t>
      </w:r>
      <w:r w:rsidR="00CA1D87">
        <w:t>9</w:t>
      </w:r>
      <w:r>
        <w:t xml:space="preserve"> million over FY2</w:t>
      </w:r>
      <w:r w:rsidR="00CA1D87">
        <w:t>2.</w:t>
      </w:r>
    </w:p>
    <w:p w14:paraId="0DBCE241" w14:textId="0B4F6027" w:rsidR="00166DF2" w:rsidRDefault="00166DF2" w:rsidP="00327CDB">
      <w:pPr>
        <w:pStyle w:val="ListParagraph"/>
        <w:numPr>
          <w:ilvl w:val="0"/>
          <w:numId w:val="3"/>
        </w:numPr>
      </w:pPr>
      <w:r>
        <w:lastRenderedPageBreak/>
        <w:t>$</w:t>
      </w:r>
      <w:r w:rsidR="00CA1D87">
        <w:t>205</w:t>
      </w:r>
      <w:r>
        <w:t xml:space="preserve"> million </w:t>
      </w:r>
      <w:r w:rsidR="00327CDB">
        <w:t>for</w:t>
      </w:r>
      <w:r>
        <w:t xml:space="preserve"> the </w:t>
      </w:r>
      <w:r w:rsidRPr="006566A9">
        <w:rPr>
          <w:b/>
          <w:bCs/>
        </w:rPr>
        <w:t>Historic Preservation Fund</w:t>
      </w:r>
      <w:r>
        <w:t>, an increase of $</w:t>
      </w:r>
      <w:r w:rsidR="00CA1D87">
        <w:t>32</w:t>
      </w:r>
      <w:r>
        <w:t xml:space="preserve"> million over FY2</w:t>
      </w:r>
      <w:r w:rsidR="00CA1D87">
        <w:t>2</w:t>
      </w:r>
      <w:r w:rsidR="00327CDB">
        <w:t xml:space="preserve"> and includes:</w:t>
      </w:r>
    </w:p>
    <w:p w14:paraId="5E8FF64D" w14:textId="1F8C2141" w:rsidR="00327CDB" w:rsidRPr="006566A9" w:rsidRDefault="00327CDB" w:rsidP="00327CDB">
      <w:pPr>
        <w:pStyle w:val="ListParagraph"/>
        <w:numPr>
          <w:ilvl w:val="0"/>
          <w:numId w:val="4"/>
        </w:numPr>
        <w:rPr>
          <w:b/>
          <w:bCs/>
        </w:rPr>
      </w:pPr>
      <w:r>
        <w:t>$</w:t>
      </w:r>
      <w:r w:rsidR="00CA1D87">
        <w:t>62</w:t>
      </w:r>
      <w:r>
        <w:t xml:space="preserve"> million for </w:t>
      </w:r>
      <w:r w:rsidRPr="006566A9">
        <w:rPr>
          <w:b/>
          <w:bCs/>
        </w:rPr>
        <w:t>State and Tribal Historic Preservation Offices</w:t>
      </w:r>
    </w:p>
    <w:p w14:paraId="68E6AA74" w14:textId="680A755E" w:rsidR="00327CDB" w:rsidRDefault="00327CDB" w:rsidP="00327CDB">
      <w:pPr>
        <w:pStyle w:val="ListParagraph"/>
        <w:numPr>
          <w:ilvl w:val="0"/>
          <w:numId w:val="4"/>
        </w:numPr>
      </w:pPr>
      <w:r>
        <w:t xml:space="preserve">$26.5 million for </w:t>
      </w:r>
      <w:r w:rsidRPr="006566A9">
        <w:rPr>
          <w:b/>
          <w:bCs/>
        </w:rPr>
        <w:t>Save America’s Treasures</w:t>
      </w:r>
      <w:r>
        <w:t xml:space="preserve"> grants</w:t>
      </w:r>
    </w:p>
    <w:p w14:paraId="6C800D4F" w14:textId="2C8C5539" w:rsidR="00327CDB" w:rsidRDefault="00327CDB" w:rsidP="00327CDB">
      <w:pPr>
        <w:pStyle w:val="ListParagraph"/>
        <w:numPr>
          <w:ilvl w:val="0"/>
          <w:numId w:val="4"/>
        </w:numPr>
      </w:pPr>
      <w:r>
        <w:t>$</w:t>
      </w:r>
      <w:r w:rsidR="00CA1D87">
        <w:t>30</w:t>
      </w:r>
      <w:r>
        <w:t xml:space="preserve"> million for the </w:t>
      </w:r>
      <w:r w:rsidRPr="006566A9">
        <w:rPr>
          <w:b/>
          <w:bCs/>
        </w:rPr>
        <w:t>African American Civil Rights grants program</w:t>
      </w:r>
    </w:p>
    <w:p w14:paraId="09A08202" w14:textId="65DFDA7A" w:rsidR="00327CDB" w:rsidRDefault="00373196" w:rsidP="00373196">
      <w:pPr>
        <w:pStyle w:val="ListParagraph"/>
        <w:numPr>
          <w:ilvl w:val="0"/>
          <w:numId w:val="2"/>
        </w:numPr>
      </w:pPr>
      <w:r w:rsidRPr="006566A9">
        <w:rPr>
          <w:b/>
          <w:bCs/>
        </w:rPr>
        <w:t>U.S. Forest Service</w:t>
      </w:r>
      <w:r>
        <w:t>:  $3.</w:t>
      </w:r>
      <w:r w:rsidR="00CA1D87">
        <w:t>9</w:t>
      </w:r>
      <w:r>
        <w:t xml:space="preserve"> billion, an increase of $2</w:t>
      </w:r>
      <w:r w:rsidR="00CA1D87">
        <w:t>22.7</w:t>
      </w:r>
      <w:r>
        <w:t xml:space="preserve"> million above FY2</w:t>
      </w:r>
      <w:r w:rsidR="00CA1D87">
        <w:t>2.</w:t>
      </w:r>
    </w:p>
    <w:p w14:paraId="7CB03878" w14:textId="62DD4F37" w:rsidR="00373196" w:rsidRDefault="00373196" w:rsidP="00373196">
      <w:pPr>
        <w:pStyle w:val="ListParagraph"/>
        <w:numPr>
          <w:ilvl w:val="0"/>
          <w:numId w:val="2"/>
        </w:numPr>
      </w:pPr>
      <w:r w:rsidRPr="006566A9">
        <w:rPr>
          <w:b/>
          <w:bCs/>
        </w:rPr>
        <w:t>National Endowment for the Arts</w:t>
      </w:r>
      <w:r>
        <w:t>:  $</w:t>
      </w:r>
      <w:r w:rsidR="00CA1D87">
        <w:t>207</w:t>
      </w:r>
      <w:r>
        <w:t xml:space="preserve"> million in funding, an increase of $</w:t>
      </w:r>
      <w:r w:rsidR="00CA1D87">
        <w:t>27</w:t>
      </w:r>
      <w:r>
        <w:t xml:space="preserve"> million above FY2</w:t>
      </w:r>
      <w:r w:rsidR="00CA1D87">
        <w:t>2</w:t>
      </w:r>
      <w:r>
        <w:t>.</w:t>
      </w:r>
    </w:p>
    <w:p w14:paraId="5CF6F241" w14:textId="6DF753B9" w:rsidR="00373196" w:rsidRDefault="00373196" w:rsidP="00373196">
      <w:pPr>
        <w:pStyle w:val="ListParagraph"/>
        <w:numPr>
          <w:ilvl w:val="0"/>
          <w:numId w:val="2"/>
        </w:numPr>
      </w:pPr>
      <w:r w:rsidRPr="006566A9">
        <w:rPr>
          <w:b/>
          <w:bCs/>
        </w:rPr>
        <w:t>National Endowment for the Humanities</w:t>
      </w:r>
      <w:r>
        <w:t>:  $</w:t>
      </w:r>
      <w:r w:rsidR="00CA1D87">
        <w:t>207</w:t>
      </w:r>
      <w:r>
        <w:t xml:space="preserve"> million in funding</w:t>
      </w:r>
      <w:r w:rsidR="00CA1D87">
        <w:t>,</w:t>
      </w:r>
      <w:r>
        <w:t xml:space="preserve"> an increase of $</w:t>
      </w:r>
      <w:r w:rsidR="00CA1D87">
        <w:t>27</w:t>
      </w:r>
      <w:r>
        <w:t xml:space="preserve"> million above FY21.</w:t>
      </w:r>
    </w:p>
    <w:p w14:paraId="7BE118B8" w14:textId="257182E2" w:rsidR="007922EE" w:rsidRDefault="00373196" w:rsidP="00CA1D87">
      <w:pPr>
        <w:pStyle w:val="ListParagraph"/>
        <w:numPr>
          <w:ilvl w:val="0"/>
          <w:numId w:val="2"/>
        </w:numPr>
      </w:pPr>
      <w:r w:rsidRPr="006566A9">
        <w:rPr>
          <w:b/>
          <w:bCs/>
        </w:rPr>
        <w:t>Land &amp; Water Conservation Fund (LWCFP)</w:t>
      </w:r>
      <w:r>
        <w:t xml:space="preserve">: the </w:t>
      </w:r>
      <w:r w:rsidR="00CA1D87">
        <w:t>bill renews the focus on land and water conservation with full funding of $900 million for land acquisition and support for state recreation program</w:t>
      </w:r>
      <w:r w:rsidR="00A91498">
        <w:t>s</w:t>
      </w:r>
      <w:r w:rsidR="00CA1D87">
        <w:t xml:space="preserve"> through the LWCFP and $681.7 million for Geographic Programs to restore nationally significant bodies of water.</w:t>
      </w:r>
    </w:p>
    <w:p w14:paraId="1139AE76" w14:textId="132ED0DF" w:rsidR="00CA1D87" w:rsidRPr="00A91498" w:rsidRDefault="00CA1D87" w:rsidP="00CA1D87">
      <w:pPr>
        <w:pStyle w:val="ListParagraph"/>
        <w:numPr>
          <w:ilvl w:val="0"/>
          <w:numId w:val="2"/>
        </w:numPr>
        <w:rPr>
          <w:b/>
          <w:bCs/>
        </w:rPr>
      </w:pPr>
      <w:r w:rsidRPr="00A91498">
        <w:rPr>
          <w:b/>
          <w:bCs/>
        </w:rPr>
        <w:t>Bureau of Land Management (BLM):</w:t>
      </w:r>
      <w:r>
        <w:t xml:space="preserve">  $1.7 billion in funding, an increase of $83 million above FY22, including $11 million for </w:t>
      </w:r>
      <w:r w:rsidRPr="00A91498">
        <w:rPr>
          <w:b/>
          <w:bCs/>
        </w:rPr>
        <w:t>Nation</w:t>
      </w:r>
      <w:r w:rsidR="00A91498" w:rsidRPr="00A91498">
        <w:rPr>
          <w:b/>
          <w:bCs/>
        </w:rPr>
        <w:t xml:space="preserve">al </w:t>
      </w:r>
      <w:r w:rsidRPr="00A91498">
        <w:rPr>
          <w:b/>
          <w:bCs/>
        </w:rPr>
        <w:t>and Scenic Historic Trails.</w:t>
      </w:r>
    </w:p>
    <w:p w14:paraId="740AE8AD" w14:textId="70E557F4" w:rsidR="007922EE" w:rsidRDefault="007922EE" w:rsidP="007922EE"/>
    <w:p w14:paraId="296C148B" w14:textId="307EB1DB" w:rsidR="007922EE" w:rsidRPr="006566A9" w:rsidRDefault="007922EE" w:rsidP="007922EE">
      <w:pPr>
        <w:rPr>
          <w:sz w:val="28"/>
          <w:szCs w:val="28"/>
        </w:rPr>
      </w:pPr>
      <w:r w:rsidRPr="006566A9">
        <w:rPr>
          <w:sz w:val="28"/>
          <w:szCs w:val="28"/>
        </w:rPr>
        <w:t>Labor, Health and Human Services, and Education</w:t>
      </w:r>
    </w:p>
    <w:p w14:paraId="0779F960" w14:textId="6D60910B" w:rsidR="007922EE" w:rsidRDefault="007922EE" w:rsidP="007922EE"/>
    <w:p w14:paraId="2CA9438A" w14:textId="3840565F" w:rsidR="007922EE" w:rsidRDefault="007922EE" w:rsidP="007922EE">
      <w:pPr>
        <w:pStyle w:val="ListParagraph"/>
        <w:numPr>
          <w:ilvl w:val="0"/>
          <w:numId w:val="6"/>
        </w:numPr>
      </w:pPr>
      <w:r w:rsidRPr="006566A9">
        <w:rPr>
          <w:b/>
          <w:bCs/>
        </w:rPr>
        <w:t>Workforce Innovation and Opportunity Act State Grants</w:t>
      </w:r>
      <w:r>
        <w:t>:  $2.9 billion in funding, an increase of $</w:t>
      </w:r>
      <w:r w:rsidR="00CA1D87">
        <w:t>50</w:t>
      </w:r>
      <w:r>
        <w:t xml:space="preserve"> million above FY2</w:t>
      </w:r>
      <w:r w:rsidR="00CA1D87">
        <w:t>2</w:t>
      </w:r>
      <w:r>
        <w:t>.</w:t>
      </w:r>
    </w:p>
    <w:p w14:paraId="735B86C5" w14:textId="432CB808" w:rsidR="007922EE" w:rsidRDefault="00E14AF6" w:rsidP="007922EE">
      <w:pPr>
        <w:pStyle w:val="ListParagraph"/>
        <w:numPr>
          <w:ilvl w:val="0"/>
          <w:numId w:val="6"/>
        </w:numPr>
      </w:pPr>
      <w:r w:rsidRPr="006566A9">
        <w:rPr>
          <w:b/>
          <w:bCs/>
        </w:rPr>
        <w:t>Strengthening Community College Training Grants</w:t>
      </w:r>
      <w:r>
        <w:t>:  $</w:t>
      </w:r>
      <w:r w:rsidR="00CA1D87">
        <w:t>65</w:t>
      </w:r>
      <w:r>
        <w:t xml:space="preserve"> million, an increase of $</w:t>
      </w:r>
      <w:r w:rsidR="00CA1D87">
        <w:t>1</w:t>
      </w:r>
      <w:r>
        <w:t>5 million over FY2</w:t>
      </w:r>
      <w:r w:rsidR="00CA1D87">
        <w:t>2</w:t>
      </w:r>
      <w:r>
        <w:t>. The grants support programs to help meet local and regional labor market demand for a skilled workforce by pro</w:t>
      </w:r>
      <w:r w:rsidR="00EF317E">
        <w:t>viding training to workers in in-demand industries at community colleges and four-year partners.</w:t>
      </w:r>
    </w:p>
    <w:p w14:paraId="2CFCB8C6" w14:textId="0E22955E" w:rsidR="00EF317E" w:rsidRDefault="00EF317E" w:rsidP="007922EE">
      <w:pPr>
        <w:pStyle w:val="ListParagraph"/>
        <w:numPr>
          <w:ilvl w:val="0"/>
          <w:numId w:val="6"/>
        </w:numPr>
      </w:pPr>
      <w:r w:rsidRPr="006566A9">
        <w:rPr>
          <w:b/>
          <w:bCs/>
        </w:rPr>
        <w:t>Institute for Museum and Library Services</w:t>
      </w:r>
      <w:r>
        <w:t>:  $</w:t>
      </w:r>
      <w:r w:rsidR="00CA1D87">
        <w:t>295</w:t>
      </w:r>
      <w:r>
        <w:t xml:space="preserve"> million, an increase of $</w:t>
      </w:r>
      <w:r w:rsidR="00CA1D87">
        <w:t>27 million</w:t>
      </w:r>
      <w:r>
        <w:t xml:space="preserve"> over FY2</w:t>
      </w:r>
      <w:r w:rsidR="00CA1D87">
        <w:t>2</w:t>
      </w:r>
      <w:r>
        <w:t>.</w:t>
      </w:r>
    </w:p>
    <w:p w14:paraId="4E3DE5C1" w14:textId="4733F2B3" w:rsidR="001266EB" w:rsidRDefault="001266EB" w:rsidP="001266EB"/>
    <w:p w14:paraId="2EF29179" w14:textId="7413DAC5" w:rsidR="001266EB" w:rsidRPr="009C150A" w:rsidRDefault="001266EB" w:rsidP="001266EB">
      <w:pPr>
        <w:rPr>
          <w:sz w:val="28"/>
          <w:szCs w:val="28"/>
        </w:rPr>
      </w:pPr>
      <w:r w:rsidRPr="009C150A">
        <w:rPr>
          <w:sz w:val="28"/>
          <w:szCs w:val="28"/>
        </w:rPr>
        <w:t xml:space="preserve">Transportation </w:t>
      </w:r>
      <w:r w:rsidR="00C05F09" w:rsidRPr="009C150A">
        <w:rPr>
          <w:sz w:val="28"/>
          <w:szCs w:val="28"/>
        </w:rPr>
        <w:t>and Housing and Urban Development</w:t>
      </w:r>
    </w:p>
    <w:p w14:paraId="38BCB213" w14:textId="3A085C25" w:rsidR="00C05F09" w:rsidRDefault="00C05F09" w:rsidP="001266EB"/>
    <w:p w14:paraId="6DC3B7BA" w14:textId="6A3639F4" w:rsidR="00C05F09" w:rsidRDefault="00C05F09" w:rsidP="00C05F09">
      <w:pPr>
        <w:pStyle w:val="ListParagraph"/>
        <w:numPr>
          <w:ilvl w:val="0"/>
          <w:numId w:val="7"/>
        </w:numPr>
      </w:pPr>
      <w:r w:rsidRPr="009C150A">
        <w:rPr>
          <w:b/>
          <w:bCs/>
        </w:rPr>
        <w:t>National Scenic Byways Program</w:t>
      </w:r>
      <w:r>
        <w:t>:  $</w:t>
      </w:r>
      <w:r w:rsidR="00CA1D87">
        <w:t>20</w:t>
      </w:r>
      <w:r>
        <w:t xml:space="preserve"> million</w:t>
      </w:r>
      <w:r w:rsidR="00CA1D87">
        <w:t>, a $14 million increase over FY22. The legislation also removes the preference for project</w:t>
      </w:r>
      <w:r w:rsidR="00A91498">
        <w:t>s</w:t>
      </w:r>
      <w:r w:rsidR="00CA1D87">
        <w:t xml:space="preserve"> above $500,000 giving greater access to smaller communities and projects.</w:t>
      </w:r>
    </w:p>
    <w:p w14:paraId="12517003" w14:textId="6530ED1B" w:rsidR="00BD33A4" w:rsidRDefault="00BD33A4" w:rsidP="00C05F09">
      <w:pPr>
        <w:pStyle w:val="ListParagraph"/>
        <w:numPr>
          <w:ilvl w:val="0"/>
          <w:numId w:val="7"/>
        </w:numPr>
      </w:pPr>
      <w:r w:rsidRPr="009C150A">
        <w:rPr>
          <w:b/>
          <w:bCs/>
        </w:rPr>
        <w:t>Amtrak:</w:t>
      </w:r>
      <w:r>
        <w:t xml:space="preserve">  $2.</w:t>
      </w:r>
      <w:r w:rsidR="00CA1D87">
        <w:t>45</w:t>
      </w:r>
      <w:r>
        <w:t xml:space="preserve"> billion, a $</w:t>
      </w:r>
      <w:r w:rsidR="00CA1D87">
        <w:t>121.6</w:t>
      </w:r>
      <w:r>
        <w:t xml:space="preserve"> million increase over FY2</w:t>
      </w:r>
      <w:r w:rsidR="00CA1D87">
        <w:t>2</w:t>
      </w:r>
      <w:r>
        <w:t>.</w:t>
      </w:r>
    </w:p>
    <w:p w14:paraId="1F2EF9A1" w14:textId="77777777" w:rsidR="009C150A" w:rsidRDefault="009C150A" w:rsidP="009C150A"/>
    <w:sectPr w:rsidR="009C150A" w:rsidSect="00C92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F02"/>
    <w:multiLevelType w:val="hybridMultilevel"/>
    <w:tmpl w:val="E066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3FE2"/>
    <w:multiLevelType w:val="hybridMultilevel"/>
    <w:tmpl w:val="1FFE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4EF1"/>
    <w:multiLevelType w:val="hybridMultilevel"/>
    <w:tmpl w:val="8610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D230D"/>
    <w:multiLevelType w:val="hybridMultilevel"/>
    <w:tmpl w:val="53B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3DDC"/>
    <w:multiLevelType w:val="hybridMultilevel"/>
    <w:tmpl w:val="CDA48D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EE7368"/>
    <w:multiLevelType w:val="hybridMultilevel"/>
    <w:tmpl w:val="739EFF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82468"/>
    <w:multiLevelType w:val="hybridMultilevel"/>
    <w:tmpl w:val="B450FDF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ED347A"/>
    <w:multiLevelType w:val="hybridMultilevel"/>
    <w:tmpl w:val="DC6A89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8F73C8"/>
    <w:multiLevelType w:val="hybridMultilevel"/>
    <w:tmpl w:val="4186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83376"/>
    <w:multiLevelType w:val="hybridMultilevel"/>
    <w:tmpl w:val="EA7648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3316359">
    <w:abstractNumId w:val="2"/>
  </w:num>
  <w:num w:numId="2" w16cid:durableId="1561475080">
    <w:abstractNumId w:val="1"/>
  </w:num>
  <w:num w:numId="3" w16cid:durableId="260113012">
    <w:abstractNumId w:val="4"/>
  </w:num>
  <w:num w:numId="4" w16cid:durableId="1989898477">
    <w:abstractNumId w:val="6"/>
  </w:num>
  <w:num w:numId="5" w16cid:durableId="344593701">
    <w:abstractNumId w:val="7"/>
  </w:num>
  <w:num w:numId="6" w16cid:durableId="847405752">
    <w:abstractNumId w:val="8"/>
  </w:num>
  <w:num w:numId="7" w16cid:durableId="1685328462">
    <w:abstractNumId w:val="0"/>
  </w:num>
  <w:num w:numId="8" w16cid:durableId="1011756252">
    <w:abstractNumId w:val="3"/>
  </w:num>
  <w:num w:numId="9" w16cid:durableId="1846361441">
    <w:abstractNumId w:val="9"/>
  </w:num>
  <w:num w:numId="10" w16cid:durableId="976256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B7"/>
    <w:rsid w:val="001266EB"/>
    <w:rsid w:val="00166DF2"/>
    <w:rsid w:val="001B65A6"/>
    <w:rsid w:val="00233780"/>
    <w:rsid w:val="00327CDB"/>
    <w:rsid w:val="00350702"/>
    <w:rsid w:val="00373196"/>
    <w:rsid w:val="00390340"/>
    <w:rsid w:val="00415680"/>
    <w:rsid w:val="004941FD"/>
    <w:rsid w:val="004A2F05"/>
    <w:rsid w:val="006566A9"/>
    <w:rsid w:val="007922EE"/>
    <w:rsid w:val="009B433E"/>
    <w:rsid w:val="009C150A"/>
    <w:rsid w:val="00A91498"/>
    <w:rsid w:val="00A96C53"/>
    <w:rsid w:val="00B417DA"/>
    <w:rsid w:val="00B43CB7"/>
    <w:rsid w:val="00BD33A4"/>
    <w:rsid w:val="00C05F09"/>
    <w:rsid w:val="00C92A86"/>
    <w:rsid w:val="00C947C4"/>
    <w:rsid w:val="00CA1D87"/>
    <w:rsid w:val="00E14AF6"/>
    <w:rsid w:val="00E357B4"/>
    <w:rsid w:val="00EF317E"/>
    <w:rsid w:val="00F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624F5"/>
  <w15:chartTrackingRefBased/>
  <w15:docId w15:val="{C41F8A40-F195-5A42-91F4-562BA628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D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D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erk.house.gov/Votes/2022540?Title=National%20Heritage%20Area%20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888</Words>
  <Characters>5116</Characters>
  <Application>Microsoft Office Word</Application>
  <DocSecurity>0</DocSecurity>
  <Lines>118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Czechowski</dc:creator>
  <cp:keywords/>
  <dc:description/>
  <cp:lastModifiedBy>Halle Czechowski</cp:lastModifiedBy>
  <cp:revision>4</cp:revision>
  <dcterms:created xsi:type="dcterms:W3CDTF">2023-01-09T06:39:00Z</dcterms:created>
  <dcterms:modified xsi:type="dcterms:W3CDTF">2023-02-21T22:55:00Z</dcterms:modified>
  <cp:category/>
</cp:coreProperties>
</file>