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62ED" w14:textId="77777777" w:rsidR="00FC5005" w:rsidRPr="00BC7B12" w:rsidRDefault="002354FB" w:rsidP="00BC7B12">
      <w:pPr>
        <w:jc w:val="center"/>
        <w:rPr>
          <w:b/>
          <w:sz w:val="28"/>
          <w:szCs w:val="28"/>
        </w:rPr>
      </w:pPr>
      <w:r w:rsidRPr="00BC7B12">
        <w:rPr>
          <w:b/>
          <w:sz w:val="28"/>
          <w:szCs w:val="28"/>
        </w:rPr>
        <w:t>NPS Visitor</w:t>
      </w:r>
      <w:r w:rsidR="00BC7B12" w:rsidRPr="00BC7B12">
        <w:rPr>
          <w:b/>
          <w:sz w:val="28"/>
          <w:szCs w:val="28"/>
        </w:rPr>
        <w:t xml:space="preserve"> Spending</w:t>
      </w:r>
      <w:r w:rsidRPr="00BC7B12">
        <w:rPr>
          <w:b/>
          <w:sz w:val="28"/>
          <w:szCs w:val="28"/>
        </w:rPr>
        <w:t xml:space="preserve"> Effects</w:t>
      </w:r>
    </w:p>
    <w:p w14:paraId="2540214D" w14:textId="77777777" w:rsidR="00BC7B12" w:rsidRDefault="00BC7B12"/>
    <w:p w14:paraId="284A3C8C" w14:textId="77777777" w:rsidR="00BD33FF" w:rsidRDefault="00BC7B12" w:rsidP="00BD33FF">
      <w:r>
        <w:t xml:space="preserve">The national parks are an important piece of the tourism landscape in the Southeast. </w:t>
      </w:r>
      <w:r w:rsidR="00BD33FF">
        <w:t xml:space="preserve">Running the gamut from rural to urban, the Southeast’s park sites showcase the diversity of the national parks, which are located in every state and touch nearly every community.  </w:t>
      </w:r>
    </w:p>
    <w:p w14:paraId="43019BD4" w14:textId="77777777" w:rsidR="00BD33FF" w:rsidRDefault="00BD33FF" w:rsidP="00BD33FF"/>
    <w:p w14:paraId="2FC3ED1B" w14:textId="77777777" w:rsidR="00BC7B12" w:rsidRDefault="00BC7B12">
      <w:r>
        <w:t xml:space="preserve">Spending by parks visitors </w:t>
      </w:r>
      <w:r w:rsidR="00BD33FF">
        <w:t>in gateway communitie</w:t>
      </w:r>
      <w:r w:rsidR="004543D8">
        <w:t xml:space="preserve">s is a key economic driver of these local economies.  Investing in the national parks is an investment in the economic vitality of gateway communities. </w:t>
      </w:r>
    </w:p>
    <w:p w14:paraId="0A6BFD87" w14:textId="77777777" w:rsidR="004543D8" w:rsidRDefault="004543D8"/>
    <w:p w14:paraId="6BE9D9EA" w14:textId="629877F5" w:rsidR="004543D8" w:rsidRDefault="004543D8">
      <w:r>
        <w:t>A detailed breakdown of the economic impact of NPS visitor spending in 20</w:t>
      </w:r>
      <w:r w:rsidR="00C14683">
        <w:t>22</w:t>
      </w:r>
      <w:r>
        <w:t xml:space="preserve"> by state and park can be accessed here</w:t>
      </w:r>
      <w:r w:rsidR="00C14683">
        <w:t xml:space="preserve">:  </w:t>
      </w:r>
      <w:hyperlink r:id="rId5" w:history="1">
        <w:r w:rsidR="00C14683" w:rsidRPr="00EB70A5">
          <w:rPr>
            <w:rStyle w:val="Hyperlink"/>
          </w:rPr>
          <w:t>https://www.nps.gov/subjects/socialscience/vse.htm</w:t>
        </w:r>
      </w:hyperlink>
    </w:p>
    <w:p w14:paraId="0559D6DB" w14:textId="77777777" w:rsidR="004543D8" w:rsidRDefault="004543D8"/>
    <w:p w14:paraId="629431F3" w14:textId="3EF51CAE" w:rsidR="004543D8" w:rsidRDefault="00744ADB" w:rsidP="004543D8">
      <w:r>
        <w:t>Listed below are</w:t>
      </w:r>
      <w:r w:rsidR="004543D8">
        <w:t xml:space="preserve"> the notable NPS visitor spending effects for each of the 1</w:t>
      </w:r>
      <w:r w:rsidR="00C14683">
        <w:t>3</w:t>
      </w:r>
      <w:r w:rsidR="004543D8">
        <w:t xml:space="preserve"> Southeastern states</w:t>
      </w:r>
      <w:r w:rsidR="00C14683">
        <w:t xml:space="preserve"> and the District of Columbia in 2022</w:t>
      </w:r>
      <w:r w:rsidR="004543D8">
        <w:t>:</w:t>
      </w:r>
    </w:p>
    <w:p w14:paraId="6A4D1F6D" w14:textId="77777777" w:rsidR="004543D8" w:rsidRDefault="004543D8"/>
    <w:p w14:paraId="2BBB84DF" w14:textId="77777777" w:rsidR="00B51A3E" w:rsidRPr="00B51A3E" w:rsidRDefault="00B51A3E">
      <w:pPr>
        <w:rPr>
          <w:b/>
        </w:rPr>
      </w:pPr>
      <w:r w:rsidRPr="00B51A3E">
        <w:rPr>
          <w:b/>
        </w:rPr>
        <w:t xml:space="preserve">Alabama </w:t>
      </w:r>
    </w:p>
    <w:p w14:paraId="53E5248B" w14:textId="6C7187BA" w:rsidR="004543D8" w:rsidRDefault="00C14683">
      <w:r>
        <w:t>1.3 million</w:t>
      </w:r>
      <w:r w:rsidR="004543D8">
        <w:t xml:space="preserve"> park visitors spent an estimated $</w:t>
      </w:r>
      <w:r>
        <w:t>88.4</w:t>
      </w:r>
      <w:r w:rsidR="004543D8">
        <w:t xml:space="preserve"> million in </w:t>
      </w:r>
      <w:r>
        <w:t xml:space="preserve">Alabama’s </w:t>
      </w:r>
      <w:r w:rsidR="00B51A3E">
        <w:t xml:space="preserve">gateway communities, supporting a total of </w:t>
      </w:r>
      <w:r>
        <w:t>1,340</w:t>
      </w:r>
      <w:r w:rsidR="00B51A3E">
        <w:t xml:space="preserve"> jobs</w:t>
      </w:r>
      <w:r>
        <w:t xml:space="preserve"> with a payroll of $39 million.</w:t>
      </w:r>
    </w:p>
    <w:p w14:paraId="18B7D7EB" w14:textId="77777777" w:rsidR="00B51A3E" w:rsidRDefault="00B51A3E"/>
    <w:p w14:paraId="5FE309AB" w14:textId="77777777" w:rsidR="00B51A3E" w:rsidRPr="00B51A3E" w:rsidRDefault="00B51A3E">
      <w:pPr>
        <w:rPr>
          <w:b/>
        </w:rPr>
      </w:pPr>
      <w:r w:rsidRPr="00B51A3E">
        <w:rPr>
          <w:b/>
        </w:rPr>
        <w:t>Arkansas</w:t>
      </w:r>
    </w:p>
    <w:p w14:paraId="23F6C0E9" w14:textId="6A12A2AB" w:rsidR="00B51A3E" w:rsidRDefault="00C14683">
      <w:r>
        <w:t>4.3</w:t>
      </w:r>
      <w:r w:rsidR="00B51A3E">
        <w:t xml:space="preserve"> million park visitors spent an estimated $</w:t>
      </w:r>
      <w:r>
        <w:t>278</w:t>
      </w:r>
      <w:r w:rsidR="00B51A3E">
        <w:t xml:space="preserve"> million in </w:t>
      </w:r>
      <w:r>
        <w:t xml:space="preserve">Arkansas’ </w:t>
      </w:r>
      <w:r w:rsidR="00B51A3E">
        <w:t xml:space="preserve">gateway communities, supporting a total of </w:t>
      </w:r>
      <w:r>
        <w:t>3,900</w:t>
      </w:r>
      <w:r w:rsidR="00B51A3E">
        <w:t xml:space="preserve"> jobs</w:t>
      </w:r>
      <w:r>
        <w:t xml:space="preserve"> with a payroll of $107 million.</w:t>
      </w:r>
    </w:p>
    <w:p w14:paraId="489888E7" w14:textId="77777777" w:rsidR="00C14683" w:rsidRDefault="00C14683"/>
    <w:p w14:paraId="46CB1428" w14:textId="77777777" w:rsidR="00C14683" w:rsidRDefault="00C14683" w:rsidP="00C14683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</w:rPr>
        <w:t xml:space="preserve">District of Columbia </w:t>
      </w:r>
    </w:p>
    <w:p w14:paraId="2D2E30F2" w14:textId="3D159495" w:rsidR="00C14683" w:rsidRDefault="00C14683" w:rsidP="00C14683">
      <w:pPr>
        <w:pStyle w:val="NormalWeb"/>
        <w:spacing w:before="0" w:beforeAutospacing="0" w:after="0" w:afterAutospacing="0"/>
      </w:pPr>
      <w:r>
        <w:rPr>
          <w:rFonts w:ascii="Cambria" w:hAnsi="Cambria"/>
        </w:rPr>
        <w:t xml:space="preserve">39.4 million park visitors spent an estimated $973 million in the National Capitol region, supporting a total of 9,140 jobs with a payroll of $487 million. </w:t>
      </w:r>
    </w:p>
    <w:p w14:paraId="4C5371AD" w14:textId="77777777" w:rsidR="004543D8" w:rsidRDefault="004543D8"/>
    <w:p w14:paraId="383CDB2E" w14:textId="77777777" w:rsidR="00B51A3E" w:rsidRPr="00B51A3E" w:rsidRDefault="00B51A3E">
      <w:pPr>
        <w:rPr>
          <w:b/>
        </w:rPr>
      </w:pPr>
      <w:r w:rsidRPr="00B51A3E">
        <w:rPr>
          <w:b/>
        </w:rPr>
        <w:t>Florida</w:t>
      </w:r>
    </w:p>
    <w:p w14:paraId="11B14BAE" w14:textId="138296BA" w:rsidR="00B51A3E" w:rsidRDefault="00B51A3E" w:rsidP="00B51A3E">
      <w:r>
        <w:t>1</w:t>
      </w:r>
      <w:r w:rsidR="00C14683">
        <w:t>4.4</w:t>
      </w:r>
      <w:r>
        <w:t xml:space="preserve"> million park visitors spent an estimated $</w:t>
      </w:r>
      <w:r w:rsidR="00C14683">
        <w:t>947</w:t>
      </w:r>
      <w:r>
        <w:t xml:space="preserve"> million in </w:t>
      </w:r>
      <w:r w:rsidR="00C14683">
        <w:t xml:space="preserve">Florida’s </w:t>
      </w:r>
      <w:r>
        <w:t xml:space="preserve">gateway communities, supporting a total of </w:t>
      </w:r>
      <w:r w:rsidR="00C14683">
        <w:t>13,100</w:t>
      </w:r>
      <w:r>
        <w:t xml:space="preserve"> jobs</w:t>
      </w:r>
      <w:r w:rsidR="00C14683">
        <w:t xml:space="preserve"> with a payroll of $489 million.</w:t>
      </w:r>
    </w:p>
    <w:p w14:paraId="59B10F20" w14:textId="77777777" w:rsidR="00B51A3E" w:rsidRDefault="00B51A3E" w:rsidP="00B51A3E"/>
    <w:p w14:paraId="789E3250" w14:textId="77777777" w:rsidR="00B51A3E" w:rsidRPr="00B51A3E" w:rsidRDefault="00B51A3E" w:rsidP="00B51A3E">
      <w:pPr>
        <w:rPr>
          <w:b/>
        </w:rPr>
      </w:pPr>
      <w:r w:rsidRPr="00B51A3E">
        <w:rPr>
          <w:b/>
        </w:rPr>
        <w:t>Georgia</w:t>
      </w:r>
    </w:p>
    <w:p w14:paraId="67FD1248" w14:textId="3E01E1A5" w:rsidR="00B51A3E" w:rsidRDefault="00C14683" w:rsidP="00B51A3E">
      <w:r>
        <w:t xml:space="preserve">6.6 </w:t>
      </w:r>
      <w:r w:rsidR="00B51A3E">
        <w:t>million park visitors spent an estimated $38</w:t>
      </w:r>
      <w:r>
        <w:t>2</w:t>
      </w:r>
      <w:r w:rsidR="00B51A3E">
        <w:t xml:space="preserve"> million in </w:t>
      </w:r>
      <w:r>
        <w:t>Geor</w:t>
      </w:r>
      <w:r w:rsidR="00EA51F1">
        <w:t>g</w:t>
      </w:r>
      <w:r>
        <w:t xml:space="preserve">ia’s </w:t>
      </w:r>
      <w:r w:rsidR="00B51A3E">
        <w:t>gateway communities, supporting a total of 5,</w:t>
      </w:r>
      <w:r>
        <w:t>440</w:t>
      </w:r>
      <w:r w:rsidR="00B51A3E">
        <w:t xml:space="preserve"> jobs</w:t>
      </w:r>
      <w:r>
        <w:t xml:space="preserve"> with a payroll of $192 million.</w:t>
      </w:r>
    </w:p>
    <w:p w14:paraId="72B351A9" w14:textId="77777777" w:rsidR="00B51A3E" w:rsidRDefault="00B51A3E" w:rsidP="00B51A3E"/>
    <w:p w14:paraId="6450A3BF" w14:textId="77777777" w:rsidR="00B51A3E" w:rsidRPr="00B51A3E" w:rsidRDefault="00B51A3E" w:rsidP="00B51A3E">
      <w:pPr>
        <w:rPr>
          <w:b/>
        </w:rPr>
      </w:pPr>
      <w:r w:rsidRPr="00B51A3E">
        <w:rPr>
          <w:b/>
        </w:rPr>
        <w:t>Kentucky</w:t>
      </w:r>
    </w:p>
    <w:p w14:paraId="04A6D133" w14:textId="2D25EC96" w:rsidR="00B51A3E" w:rsidRDefault="00C14683" w:rsidP="00B51A3E">
      <w:r>
        <w:t>2</w:t>
      </w:r>
      <w:r w:rsidR="00B51A3E">
        <w:t xml:space="preserve"> million park visitors spent an estimated $11</w:t>
      </w:r>
      <w:r>
        <w:t>4</w:t>
      </w:r>
      <w:r w:rsidR="00B51A3E">
        <w:t xml:space="preserve"> million in </w:t>
      </w:r>
      <w:r>
        <w:t xml:space="preserve">Kentucky’s </w:t>
      </w:r>
      <w:r w:rsidR="00B51A3E">
        <w:t>gateway communities, supporting a total of 1,</w:t>
      </w:r>
      <w:r>
        <w:t>690</w:t>
      </w:r>
      <w:r w:rsidR="00B51A3E">
        <w:t xml:space="preserve"> jobs</w:t>
      </w:r>
      <w:r>
        <w:t xml:space="preserve"> with a payroll of $53.4 million.</w:t>
      </w:r>
    </w:p>
    <w:p w14:paraId="0EB439D8" w14:textId="77777777" w:rsidR="00B51A3E" w:rsidRDefault="00B51A3E" w:rsidP="00B51A3E"/>
    <w:p w14:paraId="331BBC4E" w14:textId="77777777" w:rsidR="00B51A3E" w:rsidRPr="00B51A3E" w:rsidRDefault="00B51A3E" w:rsidP="00B51A3E">
      <w:pPr>
        <w:rPr>
          <w:b/>
        </w:rPr>
      </w:pPr>
      <w:r w:rsidRPr="00B51A3E">
        <w:rPr>
          <w:b/>
        </w:rPr>
        <w:t>Louisiana</w:t>
      </w:r>
    </w:p>
    <w:p w14:paraId="4A13D5F3" w14:textId="3C25BC39" w:rsidR="00B51A3E" w:rsidRDefault="00C14683" w:rsidP="00B51A3E">
      <w:r>
        <w:t>322</w:t>
      </w:r>
      <w:r w:rsidR="00B51A3E">
        <w:t>,000 park visitors spent an estimated $</w:t>
      </w:r>
      <w:r>
        <w:t>21.3</w:t>
      </w:r>
      <w:r w:rsidR="00B51A3E">
        <w:t xml:space="preserve"> million in </w:t>
      </w:r>
      <w:r>
        <w:t xml:space="preserve">Louisiana’s </w:t>
      </w:r>
      <w:r w:rsidR="00B51A3E">
        <w:t xml:space="preserve">gateway communities, supporting a total of </w:t>
      </w:r>
      <w:r>
        <w:t>294</w:t>
      </w:r>
      <w:r w:rsidR="00B51A3E">
        <w:t xml:space="preserve"> jobs</w:t>
      </w:r>
      <w:r>
        <w:t xml:space="preserve"> with a payroll of $9.4 million.</w:t>
      </w:r>
    </w:p>
    <w:p w14:paraId="0DB708C9" w14:textId="77777777" w:rsidR="00C14683" w:rsidRDefault="00C14683" w:rsidP="00B51A3E"/>
    <w:p w14:paraId="7603AE68" w14:textId="77777777" w:rsidR="00B51A3E" w:rsidRDefault="00B51A3E" w:rsidP="00B51A3E"/>
    <w:p w14:paraId="0646B18A" w14:textId="77777777" w:rsidR="00B51A3E" w:rsidRPr="0015129C" w:rsidRDefault="0015129C" w:rsidP="00B51A3E">
      <w:pPr>
        <w:rPr>
          <w:b/>
        </w:rPr>
      </w:pPr>
      <w:r w:rsidRPr="0015129C">
        <w:rPr>
          <w:b/>
        </w:rPr>
        <w:lastRenderedPageBreak/>
        <w:t>Mississippi</w:t>
      </w:r>
    </w:p>
    <w:p w14:paraId="6115A205" w14:textId="4E1C0896" w:rsidR="0015129C" w:rsidRDefault="0015129C" w:rsidP="0015129C">
      <w:r>
        <w:t>6.</w:t>
      </w:r>
      <w:r w:rsidR="00C14683">
        <w:t>9</w:t>
      </w:r>
      <w:r>
        <w:t xml:space="preserve"> million park visitors spent an estimated $</w:t>
      </w:r>
      <w:r w:rsidR="00C14683">
        <w:t>470</w:t>
      </w:r>
      <w:r>
        <w:t xml:space="preserve"> million in </w:t>
      </w:r>
      <w:r w:rsidR="00C14683">
        <w:t xml:space="preserve">Mississippi’s </w:t>
      </w:r>
      <w:r>
        <w:t xml:space="preserve">gateway communities, supporting a total of </w:t>
      </w:r>
      <w:r w:rsidR="00C14683">
        <w:t>6,680</w:t>
      </w:r>
      <w:r>
        <w:t xml:space="preserve"> jobs</w:t>
      </w:r>
      <w:r w:rsidR="00C14683">
        <w:t xml:space="preserve"> with a payroll of $190 million.</w:t>
      </w:r>
    </w:p>
    <w:p w14:paraId="04D6980C" w14:textId="77777777" w:rsidR="00C14683" w:rsidRDefault="00C14683" w:rsidP="0015129C"/>
    <w:p w14:paraId="6DACFB19" w14:textId="77777777" w:rsidR="00C14683" w:rsidRDefault="00C14683" w:rsidP="00C14683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</w:rPr>
        <w:t xml:space="preserve">Missouri </w:t>
      </w:r>
    </w:p>
    <w:p w14:paraId="3B5689D2" w14:textId="0525FAD2" w:rsidR="00C14683" w:rsidRDefault="00C14683" w:rsidP="00C14683">
      <w:pPr>
        <w:pStyle w:val="NormalWeb"/>
        <w:spacing w:before="0" w:beforeAutospacing="0" w:after="0" w:afterAutospacing="0"/>
      </w:pPr>
      <w:r>
        <w:rPr>
          <w:rFonts w:ascii="Cambria" w:hAnsi="Cambria"/>
        </w:rPr>
        <w:t>3.3 million park visitors spent an estimated $199 million in Missouri’s gateway communities, supporting a total of 3,070 jobs with a payroll of $108 million.</w:t>
      </w:r>
    </w:p>
    <w:p w14:paraId="15F57E13" w14:textId="77777777" w:rsidR="0015129C" w:rsidRDefault="0015129C" w:rsidP="0015129C"/>
    <w:p w14:paraId="05F253BB" w14:textId="77777777" w:rsidR="0015129C" w:rsidRPr="0015129C" w:rsidRDefault="0015129C" w:rsidP="0015129C">
      <w:pPr>
        <w:rPr>
          <w:b/>
        </w:rPr>
      </w:pPr>
      <w:r w:rsidRPr="0015129C">
        <w:rPr>
          <w:b/>
        </w:rPr>
        <w:t>North Carolina</w:t>
      </w:r>
    </w:p>
    <w:p w14:paraId="3C82E295" w14:textId="0074351B" w:rsidR="0015129C" w:rsidRDefault="00C14683" w:rsidP="0015129C">
      <w:r>
        <w:t>20.1</w:t>
      </w:r>
      <w:r w:rsidR="0015129C">
        <w:t xml:space="preserve"> million park visitors spent an estimated $</w:t>
      </w:r>
      <w:r>
        <w:t>2.5</w:t>
      </w:r>
      <w:r w:rsidR="0015129C">
        <w:t xml:space="preserve"> billion in </w:t>
      </w:r>
      <w:r>
        <w:t xml:space="preserve">North Carolina’s </w:t>
      </w:r>
      <w:r w:rsidR="0015129C">
        <w:t xml:space="preserve">gateway communities, supporting a total of </w:t>
      </w:r>
      <w:r>
        <w:t>37</w:t>
      </w:r>
      <w:r w:rsidR="0015129C">
        <w:t>,</w:t>
      </w:r>
      <w:r>
        <w:t>5</w:t>
      </w:r>
      <w:r w:rsidR="0015129C">
        <w:t>00 jobs</w:t>
      </w:r>
      <w:r>
        <w:t xml:space="preserve"> with a payroll of $1.5 billion.</w:t>
      </w:r>
    </w:p>
    <w:p w14:paraId="043B4A12" w14:textId="77777777" w:rsidR="0015129C" w:rsidRDefault="0015129C" w:rsidP="0015129C"/>
    <w:p w14:paraId="71954324" w14:textId="77777777" w:rsidR="0015129C" w:rsidRPr="0015129C" w:rsidRDefault="0015129C" w:rsidP="0015129C">
      <w:pPr>
        <w:rPr>
          <w:b/>
        </w:rPr>
      </w:pPr>
      <w:r w:rsidRPr="0015129C">
        <w:rPr>
          <w:b/>
        </w:rPr>
        <w:t>South Carolina</w:t>
      </w:r>
    </w:p>
    <w:p w14:paraId="063DBB89" w14:textId="243BA219" w:rsidR="0015129C" w:rsidRDefault="00744ADB" w:rsidP="0015129C">
      <w:r>
        <w:t>1</w:t>
      </w:r>
      <w:r w:rsidR="00EA51F1">
        <w:t>.</w:t>
      </w:r>
      <w:r w:rsidR="00C14683">
        <w:t>2</w:t>
      </w:r>
      <w:r w:rsidR="0015129C">
        <w:t xml:space="preserve"> million park </w:t>
      </w:r>
      <w:r>
        <w:t>visitors spent an estimated $</w:t>
      </w:r>
      <w:r w:rsidR="00C14683">
        <w:t>72.7</w:t>
      </w:r>
      <w:r w:rsidR="0015129C">
        <w:t xml:space="preserve"> million in </w:t>
      </w:r>
      <w:r w:rsidR="00C14683">
        <w:t xml:space="preserve">South Carolina’s </w:t>
      </w:r>
      <w:r w:rsidR="0015129C">
        <w:t>gateway communit</w:t>
      </w:r>
      <w:r>
        <w:t xml:space="preserve">ies, supporting a total of </w:t>
      </w:r>
      <w:r w:rsidR="00EA51F1">
        <w:t>959</w:t>
      </w:r>
      <w:r w:rsidR="0015129C">
        <w:t xml:space="preserve"> jobs</w:t>
      </w:r>
      <w:r w:rsidR="00C14683">
        <w:t xml:space="preserve"> with a payroll of $31 million.</w:t>
      </w:r>
    </w:p>
    <w:p w14:paraId="09502933" w14:textId="77777777" w:rsidR="00744ADB" w:rsidRDefault="00744ADB" w:rsidP="0015129C"/>
    <w:p w14:paraId="6349465E" w14:textId="77777777" w:rsidR="00744ADB" w:rsidRPr="00744ADB" w:rsidRDefault="00744ADB" w:rsidP="0015129C">
      <w:pPr>
        <w:rPr>
          <w:b/>
        </w:rPr>
      </w:pPr>
      <w:r w:rsidRPr="00744ADB">
        <w:rPr>
          <w:b/>
        </w:rPr>
        <w:t>Tennessee</w:t>
      </w:r>
    </w:p>
    <w:p w14:paraId="0D1D70DF" w14:textId="3B6F361F" w:rsidR="00744ADB" w:rsidRDefault="00C14683" w:rsidP="00744ADB">
      <w:r>
        <w:t>10.4</w:t>
      </w:r>
      <w:r w:rsidR="00744ADB">
        <w:t xml:space="preserve"> million park visitors spent an estimated $</w:t>
      </w:r>
      <w:r>
        <w:t>1.4</w:t>
      </w:r>
      <w:r w:rsidR="00744ADB">
        <w:t xml:space="preserve"> </w:t>
      </w:r>
      <w:r>
        <w:t>b</w:t>
      </w:r>
      <w:r w:rsidR="00744ADB">
        <w:t xml:space="preserve">illion in </w:t>
      </w:r>
      <w:r>
        <w:t xml:space="preserve">Tennessee’s </w:t>
      </w:r>
      <w:r w:rsidR="00744ADB">
        <w:t xml:space="preserve">gateway communities, supporting a total of </w:t>
      </w:r>
      <w:r>
        <w:t>1</w:t>
      </w:r>
      <w:r w:rsidR="00744ADB">
        <w:t>9,70</w:t>
      </w:r>
      <w:r>
        <w:t>0</w:t>
      </w:r>
      <w:r w:rsidR="00744ADB">
        <w:t xml:space="preserve"> jobs</w:t>
      </w:r>
      <w:r>
        <w:t xml:space="preserve"> with a payroll of $812 million.</w:t>
      </w:r>
    </w:p>
    <w:p w14:paraId="3D7FE3FE" w14:textId="77777777" w:rsidR="00744ADB" w:rsidRDefault="00744ADB" w:rsidP="00744ADB"/>
    <w:p w14:paraId="6E5A5DF7" w14:textId="77777777" w:rsidR="00744ADB" w:rsidRPr="00744ADB" w:rsidRDefault="00744ADB" w:rsidP="00744ADB">
      <w:pPr>
        <w:rPr>
          <w:b/>
        </w:rPr>
      </w:pPr>
      <w:r w:rsidRPr="00744ADB">
        <w:rPr>
          <w:b/>
        </w:rPr>
        <w:t>Virginia</w:t>
      </w:r>
    </w:p>
    <w:p w14:paraId="1BD3ACA4" w14:textId="76269E4C" w:rsidR="00744ADB" w:rsidRDefault="00744ADB" w:rsidP="00744ADB">
      <w:r>
        <w:t>2</w:t>
      </w:r>
      <w:r w:rsidR="00C14683">
        <w:t>2</w:t>
      </w:r>
      <w:r>
        <w:t>.</w:t>
      </w:r>
      <w:r w:rsidR="00C14683">
        <w:t>5</w:t>
      </w:r>
      <w:r>
        <w:t xml:space="preserve"> million park visitors spent an estimated $1</w:t>
      </w:r>
      <w:r w:rsidR="00C14683">
        <w:t>.2</w:t>
      </w:r>
      <w:r>
        <w:t xml:space="preserve"> billion in </w:t>
      </w:r>
      <w:r w:rsidR="00C14683">
        <w:t xml:space="preserve">Virginia’s </w:t>
      </w:r>
      <w:r>
        <w:t>gateway communities, supporting a total of 1</w:t>
      </w:r>
      <w:r w:rsidR="00C14683">
        <w:t>7</w:t>
      </w:r>
      <w:r>
        <w:t>,</w:t>
      </w:r>
      <w:r w:rsidR="00C14683">
        <w:t>7</w:t>
      </w:r>
      <w:r>
        <w:t>00 jobs</w:t>
      </w:r>
      <w:r w:rsidR="00C14683">
        <w:t xml:space="preserve"> with a payroll of $637 million.</w:t>
      </w:r>
    </w:p>
    <w:p w14:paraId="2292D63D" w14:textId="77777777" w:rsidR="00744ADB" w:rsidRDefault="00744ADB" w:rsidP="00744ADB"/>
    <w:p w14:paraId="7631A0A6" w14:textId="77777777" w:rsidR="00744ADB" w:rsidRPr="00744ADB" w:rsidRDefault="00744ADB" w:rsidP="00744ADB">
      <w:pPr>
        <w:rPr>
          <w:b/>
        </w:rPr>
      </w:pPr>
      <w:r w:rsidRPr="00744ADB">
        <w:rPr>
          <w:b/>
        </w:rPr>
        <w:t>West Virginia</w:t>
      </w:r>
    </w:p>
    <w:p w14:paraId="68ECECE0" w14:textId="1EC65840" w:rsidR="00744ADB" w:rsidRDefault="00C14683" w:rsidP="00744ADB">
      <w:r>
        <w:t xml:space="preserve">2.2 </w:t>
      </w:r>
      <w:r w:rsidR="00744ADB">
        <w:t>million park visitors spent an estimated $</w:t>
      </w:r>
      <w:r>
        <w:t>110</w:t>
      </w:r>
      <w:r w:rsidR="00744ADB">
        <w:t xml:space="preserve"> million in </w:t>
      </w:r>
      <w:r>
        <w:t xml:space="preserve">West Virginia’s </w:t>
      </w:r>
      <w:r w:rsidR="00744ADB">
        <w:t>gateway communities, supporting a total of 1,</w:t>
      </w:r>
      <w:r>
        <w:t xml:space="preserve">470 </w:t>
      </w:r>
      <w:r w:rsidR="00744ADB">
        <w:t>jobs</w:t>
      </w:r>
      <w:r>
        <w:t xml:space="preserve"> with a payroll of $43.8 million.</w:t>
      </w:r>
    </w:p>
    <w:p w14:paraId="64482EDB" w14:textId="77777777" w:rsidR="00744ADB" w:rsidRDefault="00744ADB" w:rsidP="00744ADB"/>
    <w:p w14:paraId="403A6D76" w14:textId="77777777" w:rsidR="00744ADB" w:rsidRDefault="00744ADB" w:rsidP="00744ADB"/>
    <w:p w14:paraId="1C8622E8" w14:textId="77777777" w:rsidR="00744ADB" w:rsidRDefault="00744ADB" w:rsidP="0015129C"/>
    <w:p w14:paraId="60F5EC5B" w14:textId="77777777" w:rsidR="0015129C" w:rsidRDefault="0015129C" w:rsidP="0015129C"/>
    <w:p w14:paraId="5579433D" w14:textId="77777777" w:rsidR="0015129C" w:rsidRDefault="0015129C" w:rsidP="0015129C"/>
    <w:p w14:paraId="28154F62" w14:textId="77777777" w:rsidR="0015129C" w:rsidRDefault="0015129C" w:rsidP="00B51A3E"/>
    <w:p w14:paraId="54931C5F" w14:textId="77777777" w:rsidR="00B51A3E" w:rsidRDefault="00B51A3E" w:rsidP="00B51A3E"/>
    <w:p w14:paraId="2AB44413" w14:textId="77777777" w:rsidR="00B51A3E" w:rsidRDefault="00B51A3E" w:rsidP="00B51A3E"/>
    <w:p w14:paraId="60A46564" w14:textId="77777777" w:rsidR="00B51A3E" w:rsidRDefault="00B51A3E" w:rsidP="00B51A3E"/>
    <w:p w14:paraId="1DD29B07" w14:textId="77777777" w:rsidR="00B51A3E" w:rsidRDefault="00B51A3E"/>
    <w:p w14:paraId="33920C06" w14:textId="77777777" w:rsidR="004543D8" w:rsidRDefault="004543D8"/>
    <w:sectPr w:rsidR="004543D8" w:rsidSect="00B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9A4"/>
    <w:multiLevelType w:val="hybridMultilevel"/>
    <w:tmpl w:val="34A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0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FB"/>
    <w:rsid w:val="00076CD6"/>
    <w:rsid w:val="0015129C"/>
    <w:rsid w:val="002354FB"/>
    <w:rsid w:val="00307A50"/>
    <w:rsid w:val="004543D8"/>
    <w:rsid w:val="00744ADB"/>
    <w:rsid w:val="00B51A3E"/>
    <w:rsid w:val="00BC7B12"/>
    <w:rsid w:val="00BD33FF"/>
    <w:rsid w:val="00C14683"/>
    <w:rsid w:val="00EA51F1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37D2C"/>
  <w14:defaultImageDpi w14:val="300"/>
  <w15:docId w15:val="{31C55660-BB1F-1341-8144-0E0A20E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6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s.gov/subjects/socialscience/vs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CZECHOWSKI</dc:creator>
  <cp:keywords/>
  <dc:description/>
  <cp:lastModifiedBy> </cp:lastModifiedBy>
  <cp:revision>3</cp:revision>
  <dcterms:created xsi:type="dcterms:W3CDTF">2023-08-22T19:15:00Z</dcterms:created>
  <dcterms:modified xsi:type="dcterms:W3CDTF">2023-08-22T19:24:00Z</dcterms:modified>
</cp:coreProperties>
</file>